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300"/>
        <w:gridCol w:w="7580"/>
      </w:tblGrid>
      <w:tr>
        <w:trPr>
          <w:cantSplit/>
        </w:trPr>
        <w:tc>
          <w:tcPr>
            <w:tcW w:type="dxa" w:w="33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F1E3D" w:val="clear"/>
            <w:tcMar>
              <w:top w:type="dxa" w:w="300"/>
              <w:left w:type="dxa" w:w="200"/>
              <w:bottom w:type="dxa" w:w="300"/>
              <w:right w:type="dxa" w:w="200"/>
            </w:tcMar>
          </w:tcPr>
          <w:p>
            <w:pPr>
              <w:pBdr>
                <w:bottom w:val="single" w:color="5A6C8F" w:sz="4" w:space="4"/>
              </w:pBdr>
              <w:spacing w:after="100" w:before="24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LINKS</w:t>
            </w:r>
          </w:p>
          <w:p>
            <w:pPr>
              <w:spacing w:after="8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Portfolio</w:t>
            </w: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br/>
              <w:t xml:space="preserve">claireshaffertech.com</w:t>
            </w:r>
          </w:p>
          <w:p>
            <w:pPr>
              <w:spacing w:after="8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LinkedIn</w:t>
            </w: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br/>
              <w:t xml:space="preserve">in/claire-shaffer</w:t>
            </w:r>
          </w:p>
          <w:p>
            <w:pPr>
              <w:pBdr>
                <w:bottom w:val="single" w:color="5A6C8F" w:sz="4" w:space="4"/>
              </w:pBdr>
              <w:spacing w:after="100" w:before="24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CERTIFICATIONS</w:t>
            </w:r>
          </w:p>
          <w:p>
            <w:pPr>
              <w:spacing w:after="60"/>
            </w:pP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t xml:space="preserve">Cisco CCNA</w:t>
            </w:r>
          </w:p>
          <w:p>
            <w:pPr>
              <w:spacing w:after="60"/>
            </w:pP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t xml:space="preserve">Juniper JNCIA-Junos</w:t>
            </w:r>
          </w:p>
          <w:p>
            <w:pPr>
              <w:spacing w:after="60"/>
            </w:pP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t xml:space="preserve">Ruckus RASP / RICXI / RCNI</w:t>
            </w:r>
          </w:p>
          <w:p>
            <w:pPr>
              <w:spacing w:after="60"/>
            </w:pP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t xml:space="preserve">CompTIA CySA+</w:t>
            </w:r>
          </w:p>
          <w:p>
            <w:pPr>
              <w:spacing w:after="60"/>
            </w:pP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t xml:space="preserve">CompTIA Security+</w:t>
            </w:r>
          </w:p>
          <w:p>
            <w:pPr>
              <w:spacing w:after="60"/>
            </w:pP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t xml:space="preserve">CompTIA Network+</w:t>
            </w:r>
          </w:p>
          <w:p>
            <w:pPr>
              <w:spacing w:after="60"/>
            </w:pP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t xml:space="preserve">CompTIA A+</w:t>
            </w:r>
          </w:p>
          <w:p>
            <w:pPr>
              <w:spacing w:after="60"/>
            </w:pP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t xml:space="preserve">CompTIA AI Essentials</w:t>
            </w:r>
          </w:p>
          <w:p>
            <w:pPr>
              <w:spacing w:after="60"/>
            </w:pP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t xml:space="preserve">Microsoft AZ-900</w:t>
            </w:r>
          </w:p>
          <w:p>
            <w:pPr>
              <w:spacing w:after="60"/>
            </w:pP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t xml:space="preserve">Microsoft AI-900</w:t>
            </w:r>
          </w:p>
          <w:p>
            <w:pPr>
              <w:spacing w:after="60"/>
            </w:pP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t xml:space="preserve">LPI Linux Essentials</w:t>
            </w:r>
          </w:p>
          <w:p>
            <w:pPr>
              <w:spacing w:after="60"/>
            </w:pP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t xml:space="preserve">Python PCEP</w:t>
            </w:r>
          </w:p>
          <w:p>
            <w:pPr>
              <w:pBdr>
                <w:bottom w:val="single" w:color="5A6C8F" w:sz="4" w:space="4"/>
              </w:pBdr>
              <w:spacing w:after="100" w:before="24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TOOLS &amp; TECHNOLOGIES</w:t>
            </w:r>
          </w:p>
          <w:p>
            <w:pPr>
              <w:spacing w:after="8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Monitoring &amp; Analysis</w:t>
            </w: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br/>
              <w:t xml:space="preserve">Auvik, PRTG, Wireshark</w:t>
            </w:r>
          </w:p>
          <w:p>
            <w:pPr>
              <w:spacing w:after="8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Ticketing</w:t>
            </w: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br/>
              <w:t xml:space="preserve">ConnectWise</w:t>
            </w:r>
          </w:p>
          <w:p>
            <w:pPr>
              <w:spacing w:after="8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Wireless Planning</w:t>
            </w: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br/>
              <w:t xml:space="preserve">Hamina</w:t>
            </w:r>
          </w:p>
          <w:p>
            <w:pPr>
              <w:spacing w:after="8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Virtualization</w:t>
            </w: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br/>
              <w:t xml:space="preserve">Hyper-V</w:t>
            </w:r>
          </w:p>
          <w:p>
            <w:pPr>
              <w:spacing w:after="8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8"/>
                <w:szCs w:val="18"/>
              </w:rPr>
              <w:t xml:space="preserve">Scripting &amp; OS</w:t>
            </w:r>
            <w:r>
              <w:rPr>
                <w:rFonts w:ascii="Calibri" w:cs="Calibri" w:eastAsia="Calibri" w:hAnsi="Calibri"/>
                <w:color w:val="E8ECF4"/>
                <w:sz w:val="18"/>
                <w:szCs w:val="18"/>
              </w:rPr>
              <w:br/>
              <w:t xml:space="preserve">PowerShell; Windows, Linux, Active Directory</w:t>
            </w:r>
          </w:p>
          <w:p>
            <w:pPr>
              <w:pBdr>
                <w:bottom w:val="single" w:color="5A6C8F" w:sz="4" w:space="4"/>
              </w:pBdr>
              <w:spacing w:after="100" w:before="24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EDUCATION</w:t>
            </w:r>
          </w:p>
          <w:p>
            <w:pPr>
              <w:spacing w:after="1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19"/>
                <w:szCs w:val="19"/>
              </w:rPr>
              <w:t xml:space="preserve">C-TEC of Licking County</w:t>
            </w:r>
          </w:p>
          <w:p>
            <w:pPr>
              <w:spacing w:after="10"/>
            </w:pPr>
            <w:r>
              <w:rPr>
                <w:rFonts w:ascii="Calibri" w:cs="Calibri" w:eastAsia="Calibri" w:hAnsi="Calibri"/>
                <w:i/>
                <w:iCs/>
                <w:color w:val="C7CEDC"/>
                <w:sz w:val="18"/>
                <w:szCs w:val="18"/>
              </w:rPr>
              <w:t xml:space="preserve">Cybersecurity</w:t>
            </w:r>
          </w:p>
          <w:p>
            <w:pPr>
              <w:spacing w:after="60"/>
            </w:pPr>
            <w:r>
              <w:rPr>
                <w:rFonts w:ascii="Calibri" w:cs="Calibri" w:eastAsia="Calibri" w:hAnsi="Calibri"/>
                <w:color w:val="C7CEDC"/>
                <w:sz w:val="18"/>
                <w:szCs w:val="18"/>
              </w:rPr>
              <w:t xml:space="preserve">Aug 2025 – Aug 2026</w:t>
            </w:r>
          </w:p>
        </w:tc>
        <w:tc>
          <w:tcPr>
            <w:tcW w:type="dxa" w:w="758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100"/>
              <w:left w:type="dxa" w:w="200"/>
              <w:bottom w:type="dxa" w:w="100"/>
              <w:right w:type="dxa" w:w="100"/>
            </w:tcMar>
          </w:tcPr>
          <w:p>
            <w:pPr>
              <w:spacing w:after="20"/>
            </w:pPr>
            <w:r>
              <w:rPr>
                <w:rFonts w:ascii="Calibri" w:cs="Calibri" w:eastAsia="Calibri" w:hAnsi="Calibri"/>
                <w:b/>
                <w:bCs/>
                <w:color w:val="1F3864"/>
                <w:sz w:val="40"/>
                <w:szCs w:val="40"/>
              </w:rPr>
              <w:t xml:space="preserve">Claire Shaffer</w:t>
            </w:r>
          </w:p>
          <w:p>
            <w:pPr>
              <w:spacing w:after="160"/>
            </w:pPr>
            <w:r>
              <w:rPr>
                <w:rFonts w:ascii="Calibri" w:cs="Calibri" w:eastAsia="Calibri" w:hAnsi="Calibri"/>
                <w:color w:val="333333"/>
                <w:sz w:val="24"/>
                <w:szCs w:val="24"/>
              </w:rPr>
              <w:t xml:space="preserve">Network Operations Technician</w:t>
            </w:r>
          </w:p>
          <w:p>
            <w:pPr>
              <w:spacing w:after="4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Hands-on network professional with experience supporting and troubleshooting multi-vendor enterprise environments, including Cisco, Juniper, Aruba, Ruckus, Fortinet, and Passive Optical LAN (PON) technologies. Skilled in Tier 2 support, network monitoring, incident management, and deployment support across switching, routing, wireless, and security platforms. Experience extends beyond the NOC to leading small-scale projects, supporting security assessment remediation, and traveling on-site for equipment installation and environment assessments. Continuously expanding expertise in network engineering through hands-on configuration, predictive Wi-Fi design, and managed services operations. Focused on delivering reliable solutions and growing into network engineering and solutions engineering roles.</w:t>
            </w:r>
          </w:p>
          <w:p>
            <w:pPr>
              <w:pBdr>
                <w:bottom w:val="single" w:color="AAAAAA" w:sz="4" w:space="4"/>
              </w:pBdr>
              <w:spacing w:after="60" w:before="160"/>
            </w:pPr>
            <w:r>
              <w:rPr>
                <w:rFonts w:ascii="Calibri" w:cs="Calibri" w:eastAsia="Calibri" w:hAnsi="Calibri"/>
                <w:b/>
                <w:bCs/>
                <w:color w:val="1F3864"/>
                <w:sz w:val="22"/>
                <w:szCs w:val="22"/>
              </w:rPr>
              <w:t xml:space="preserve">EXPERIENCE</w:t>
            </w:r>
          </w:p>
          <w:p>
            <w:pPr>
              <w:tabs>
                <w:tab w:val="right" w:pos="9936"/>
              </w:tabs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111111"/>
                <w:sz w:val="21"/>
                <w:szCs w:val="21"/>
              </w:rPr>
              <w:t xml:space="preserve">UberData Networks (UDN) — Columbus, OH</w:t>
            </w:r>
            <w:r>
              <w:rPr>
                <w:rFonts w:ascii="Calibri" w:cs="Calibri" w:eastAsia="Calibri" w:hAnsi="Calibri"/>
                <w:color w:val="555555"/>
                <w:sz w:val="19"/>
                <w:szCs w:val="19"/>
              </w:rPr>
              <w:t xml:space="preserve">	May 2026 – Present</w:t>
            </w:r>
          </w:p>
          <w:p>
            <w:pPr>
              <w:spacing w:after="50"/>
            </w:pPr>
            <w:r>
              <w:rPr>
                <w:rFonts w:ascii="Calibri" w:cs="Calibri" w:eastAsia="Calibri" w:hAnsi="Calibri"/>
                <w:i/>
                <w:iCs/>
                <w:color w:val="555555"/>
                <w:sz w:val="18"/>
                <w:szCs w:val="18"/>
              </w:rPr>
              <w:t xml:space="preserve">Network Operations Center (NOC) Technician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Monitor multi-vendor network infrastructure and perform first-level triage and investigation of alerts using Auvik and PRTG.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Manage incidents end to end, documenting, troubleshooting, and communicating with customers to drive resolution within SLA.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Troubleshoot and test network, firewall, and Wi-Fi across diverse, multi-vendor customer environments.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Support Tellabs Passive Optical LAN deployments and test and validate Belden PON, including IPTV, VoIP, and IP camera services.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Assist with core switching configuration and troubleshooting, and support predictive Wi-Fi planning with Hamina.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Lead small-scale projects and support remediation efforts following client security assessments.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Travel on-site to install and troubleshoot equipment, and to assess client environments and identify issues for remediation.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Build and maintain network documentation and topology maps for client environments.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Partner with engineering and vendors on lab builds, technology evaluation, and automation to improve NOC operations, including the Zoho to ConnectWise migration and Auvik alerting integration.</w:t>
            </w:r>
          </w:p>
          <w:p>
            <w:pPr>
              <w:spacing w:before="60"/>
            </w:pPr>
          </w:p>
          <w:p>
            <w:pPr>
              <w:tabs>
                <w:tab w:val="right" w:pos="9936"/>
              </w:tabs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111111"/>
                <w:sz w:val="21"/>
                <w:szCs w:val="21"/>
              </w:rPr>
              <w:t xml:space="preserve">Starbucks</w:t>
            </w:r>
            <w:r>
              <w:rPr>
                <w:rFonts w:ascii="Calibri" w:cs="Calibri" w:eastAsia="Calibri" w:hAnsi="Calibri"/>
                <w:color w:val="555555"/>
                <w:sz w:val="19"/>
                <w:szCs w:val="19"/>
              </w:rPr>
              <w:t xml:space="preserve">	March 2025 – April 2026</w:t>
            </w:r>
          </w:p>
          <w:p>
            <w:pPr>
              <w:spacing w:after="50"/>
            </w:pPr>
            <w:r>
              <w:rPr>
                <w:rFonts w:ascii="Calibri" w:cs="Calibri" w:eastAsia="Calibri" w:hAnsi="Calibri"/>
                <w:i/>
                <w:iCs/>
                <w:color w:val="555555"/>
                <w:sz w:val="18"/>
                <w:szCs w:val="18"/>
              </w:rPr>
              <w:t xml:space="preserve">Barista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Delivered fast, accurate service in a high-volume environment while operating a variety of point-of-sale systems.</w:t>
            </w:r>
          </w:p>
          <w:p>
            <w:pPr>
              <w:spacing w:before="60"/>
            </w:pPr>
          </w:p>
          <w:p>
            <w:pPr>
              <w:tabs>
                <w:tab w:val="right" w:pos="9936"/>
              </w:tabs>
              <w:spacing w:after="0"/>
            </w:pPr>
            <w:r>
              <w:rPr>
                <w:rFonts w:ascii="Calibri" w:cs="Calibri" w:eastAsia="Calibri" w:hAnsi="Calibri"/>
                <w:b/>
                <w:bCs/>
                <w:color w:val="111111"/>
                <w:sz w:val="21"/>
                <w:szCs w:val="21"/>
              </w:rPr>
              <w:t xml:space="preserve">Weathervane Kettle Corn</w:t>
            </w:r>
            <w:r>
              <w:rPr>
                <w:rFonts w:ascii="Calibri" w:cs="Calibri" w:eastAsia="Calibri" w:hAnsi="Calibri"/>
                <w:color w:val="555555"/>
                <w:sz w:val="19"/>
                <w:szCs w:val="19"/>
              </w:rPr>
              <w:t xml:space="preserve">	October 2022 – February 2025</w:t>
            </w:r>
          </w:p>
          <w:p>
            <w:pPr>
              <w:spacing w:after="50"/>
            </w:pPr>
            <w:r>
              <w:rPr>
                <w:rFonts w:ascii="Calibri" w:cs="Calibri" w:eastAsia="Calibri" w:hAnsi="Calibri"/>
                <w:i/>
                <w:iCs/>
                <w:color w:val="555555"/>
                <w:sz w:val="18"/>
                <w:szCs w:val="18"/>
              </w:rPr>
              <w:t xml:space="preserve">Sales Associate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Sold kettle corn and concessions directly to customers at farmers markets and public events, often running the booth independently.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30"/>
            </w:pPr>
            <w:r>
              <w:rPr>
                <w:rFonts w:ascii="Calibri" w:cs="Calibri" w:eastAsia="Calibri" w:hAnsi="Calibri"/>
                <w:sz w:val="19"/>
                <w:szCs w:val="19"/>
              </w:rPr>
              <w:t xml:space="preserve">Built rapport and drove sales through sampling, recommendations, and upselling while handling all transactions and cash management.</w:t>
            </w:r>
          </w:p>
          <w:p>
            <w:pPr>
              <w:pBdr>
                <w:bottom w:val="single" w:color="AAAAAA" w:sz="4" w:space="4"/>
              </w:pBdr>
              <w:spacing w:after="60" w:before="160"/>
            </w:pPr>
            <w:r>
              <w:rPr>
                <w:rFonts w:ascii="Calibri" w:cs="Calibri" w:eastAsia="Calibri" w:hAnsi="Calibri"/>
                <w:b/>
                <w:bCs/>
                <w:color w:val="1F3864"/>
                <w:sz w:val="22"/>
                <w:szCs w:val="22"/>
              </w:rPr>
              <w:t xml:space="preserve">TECHNICAL SKILLS</w:t>
            </w:r>
          </w:p>
          <w:p>
            <w:pPr>
              <w:spacing w:after="2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Routing &amp; Switching: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Cisco, Juniper Junos, Aruba, Ruckus, Arista, Extreme; OSPF, BGP, STP, VLANs, trunking, TCP/IP, DNS, DHCP</w:t>
            </w:r>
          </w:p>
          <w:p>
            <w:pPr>
              <w:spacing w:after="2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Firewalls &amp; Security: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Fortinet FortiGate, Juniper SRX, VPN / IPsec</w:t>
            </w:r>
          </w:p>
          <w:p>
            <w:pPr>
              <w:spacing w:after="2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Wireless: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Juniper Mist, Aruba, Ruckus, Cisco Meraki</w:t>
            </w:r>
          </w:p>
          <w:p>
            <w:pPr>
              <w:spacing w:after="2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Optical LAN (PON):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Tellabs (deployment support), Belden (testing); IPTV, VoIP, IP cameras</w:t>
            </w:r>
          </w:p>
          <w:p>
            <w:pPr>
              <w:spacing w:after="40"/>
            </w:pPr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Operations: </w:t>
            </w:r>
            <w:r>
              <w:rPr>
                <w:rFonts w:ascii="Calibri" w:cs="Calibri" w:eastAsia="Calibri" w:hAnsi="Calibri"/>
                <w:sz w:val="20"/>
                <w:szCs w:val="20"/>
              </w:rPr>
              <w:t xml:space="preserve">Incident management, SLA compliance, inventory, documentation, on-site deployment and assessment</w:t>
            </w:r>
          </w:p>
        </w:tc>
      </w:tr>
    </w:tbl>
    <w:sectPr>
      <w:pgSz w:w="12240" w:h="15840" w:orient="portrait"/>
      <w:pgMar w:top="300" w:right="600" w:bottom="300" w:left="6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300" w:hanging="22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2026-09-01T00:02:39.945Z</dcterms:created>
  <dcterms:modified xsi:type="dcterms:W3CDTF">2026-09-01T00:02:39.945Z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